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9B36B" w14:textId="733B147E" w:rsidR="008E374C" w:rsidRPr="00967CFB" w:rsidRDefault="008E374C" w:rsidP="008E374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4625F" w:rsidRPr="0074625F">
        <w:rPr>
          <w:rFonts w:ascii="Arial" w:hAnsi="Arial" w:cs="Arial"/>
          <w:b/>
          <w:bCs/>
          <w:sz w:val="28"/>
        </w:rPr>
        <w:t>R1-2408491</w:t>
      </w:r>
    </w:p>
    <w:p w14:paraId="7244C046" w14:textId="77777777" w:rsidR="008E374C" w:rsidRPr="009513AC" w:rsidRDefault="008E374C" w:rsidP="008E37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7C957471"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DD3396">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8CC301D"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462B58">
        <w:rPr>
          <w:rFonts w:ascii="Arial" w:hAnsi="Arial" w:cs="Arial" w:hint="eastAsia"/>
        </w:rPr>
        <w:t>Di</w:t>
      </w:r>
      <w:r w:rsidR="00462B58">
        <w:rPr>
          <w:rFonts w:ascii="Arial" w:hAnsi="Arial" w:cs="Arial"/>
        </w:rPr>
        <w:t xml:space="preserve">scussion on </w:t>
      </w:r>
      <w:r w:rsidR="0051326F" w:rsidRPr="0051326F">
        <w:rPr>
          <w:rFonts w:ascii="Arial" w:hAnsi="Arial" w:cs="Arial"/>
        </w:rPr>
        <w:t xml:space="preserve">IoT-NTN </w:t>
      </w:r>
      <w:r w:rsidR="00DD3396">
        <w:rPr>
          <w:rFonts w:ascii="Arial" w:hAnsi="Arial" w:cs="Arial"/>
        </w:rPr>
        <w:t>TDD mode</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49B126CD" w:rsidR="00385112" w:rsidRDefault="00E00129" w:rsidP="006D7283">
      <w:pPr>
        <w:spacing w:before="120" w:after="120"/>
        <w:jc w:val="both"/>
      </w:pPr>
      <w:r>
        <w:t xml:space="preserve">In </w:t>
      </w:r>
      <w:r w:rsidR="009761AF">
        <w:t xml:space="preserve">the </w:t>
      </w:r>
      <w:r>
        <w:t>RAN #1</w:t>
      </w:r>
      <w:r w:rsidR="002D2038">
        <w:t>0</w:t>
      </w:r>
      <w:r w:rsidR="00F613AC">
        <w:t>5</w:t>
      </w:r>
      <w:r>
        <w:t xml:space="preserve"> meeting</w:t>
      </w:r>
      <w:r w:rsidR="00385112">
        <w:t xml:space="preserve">, </w:t>
      </w:r>
      <w:r w:rsidR="002D2038">
        <w:t xml:space="preserve">the WID </w:t>
      </w:r>
      <w:r w:rsidR="00B43390" w:rsidRPr="00B43390">
        <w:rPr>
          <w:bCs/>
        </w:rPr>
        <w:t>on introduction of IoT-NTN TDD mode</w:t>
      </w:r>
      <w:r w:rsidR="002D2038">
        <w:t xml:space="preserve"> was agreed</w:t>
      </w:r>
      <w:r w:rsidR="00CD0C87">
        <w:t xml:space="preserve"> in</w:t>
      </w:r>
      <w:r w:rsidR="002D2038">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w:t>
      </w:r>
      <w:r w:rsidR="005136E3">
        <w:t xml:space="preserve">The objective includes </w:t>
      </w:r>
      <w:r w:rsidR="00CD0C87">
        <w:t>the</w:t>
      </w:r>
      <w:r w:rsidR="005136E3">
        <w:t xml:space="preserve"> periodic pattern impacts </w:t>
      </w:r>
      <w:r w:rsidR="00CD0C87">
        <w:t>on</w:t>
      </w:r>
      <w:r w:rsidR="005136E3">
        <w:t xml:space="preserve"> current NB-IoT FDD NTN operation.</w:t>
      </w:r>
    </w:p>
    <w:tbl>
      <w:tblPr>
        <w:tblStyle w:val="TableGrid"/>
        <w:tblW w:w="0" w:type="auto"/>
        <w:tblLook w:val="04A0" w:firstRow="1" w:lastRow="0" w:firstColumn="1" w:lastColumn="0" w:noHBand="0" w:noVBand="1"/>
      </w:tblPr>
      <w:tblGrid>
        <w:gridCol w:w="9629"/>
      </w:tblGrid>
      <w:tr w:rsidR="008E2616" w:rsidRPr="00250836" w14:paraId="33C9ED9E" w14:textId="77777777" w:rsidTr="008E2616">
        <w:tc>
          <w:tcPr>
            <w:tcW w:w="9629" w:type="dxa"/>
          </w:tcPr>
          <w:p w14:paraId="233C4F9B" w14:textId="77777777" w:rsidR="005136E3" w:rsidRDefault="005136E3" w:rsidP="005136E3">
            <w:pPr>
              <w:numPr>
                <w:ilvl w:val="0"/>
                <w:numId w:val="56"/>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EEC8C29" w14:textId="6D7988C8" w:rsidR="008E2616" w:rsidRPr="005136E3" w:rsidRDefault="005136E3" w:rsidP="005136E3">
            <w:pPr>
              <w:numPr>
                <w:ilvl w:val="1"/>
                <w:numId w:val="57"/>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tc>
      </w:tr>
    </w:tbl>
    <w:p w14:paraId="65E8C13E" w14:textId="37A2B8DF" w:rsidR="006400C7" w:rsidRPr="006400C7" w:rsidRDefault="006400C7" w:rsidP="00CD0C87">
      <w:pPr>
        <w:spacing w:before="120" w:after="120"/>
        <w:jc w:val="both"/>
      </w:pPr>
      <w:r>
        <w:t xml:space="preserve">In this contribution, we </w:t>
      </w:r>
      <w:r w:rsidR="00991887">
        <w:t xml:space="preserve">provide our </w:t>
      </w:r>
      <w:r w:rsidR="00CD0C87">
        <w:t xml:space="preserve">considerations on this new IoT-NTN TDD mode.  </w:t>
      </w:r>
    </w:p>
    <w:p w14:paraId="05B5772E" w14:textId="1512467D" w:rsidR="0003353A" w:rsidRDefault="00EA5A5B" w:rsidP="00447B1C">
      <w:pPr>
        <w:pStyle w:val="Heading1"/>
      </w:pPr>
      <w:r>
        <w:t>Discussion</w:t>
      </w:r>
    </w:p>
    <w:p w14:paraId="03AB1C31" w14:textId="44DD8109" w:rsidR="00CD0C87" w:rsidRDefault="00CD0C87" w:rsidP="00B43390">
      <w:pPr>
        <w:jc w:val="both"/>
      </w:pPr>
      <w:r>
        <w:t>According to the WI description, it targets for the NB-IoT FDD NTN operating in unpaired frequency band and tr</w:t>
      </w:r>
      <w:r>
        <w:rPr>
          <w:rFonts w:hint="eastAsia"/>
        </w:rPr>
        <w:t>ies</w:t>
      </w:r>
      <w:r>
        <w:t xml:space="preserve"> to re-use existing IoT-NTN design.</w:t>
      </w:r>
      <w:r w:rsidR="0042691C">
        <w:rPr>
          <w:rFonts w:hint="eastAsia"/>
        </w:rPr>
        <w:t xml:space="preserve"> </w:t>
      </w:r>
      <w:r w:rsidR="0042691C">
        <w:t xml:space="preserve">To reduce the power consumption from the satellite, half-duplex operation from network side is assumed. </w:t>
      </w:r>
      <w:r w:rsidR="00CD7808">
        <w:t>It’s evident that the DL and UL throughputs will decrease.</w:t>
      </w:r>
      <w:r>
        <w:t xml:space="preserve"> </w:t>
      </w:r>
      <w:r w:rsidR="00E022E4">
        <w:t>For IoT-NTN TDD mode study</w:t>
      </w:r>
      <w:r w:rsidR="00CD7808">
        <w:t xml:space="preserve"> phase</w:t>
      </w:r>
      <w:r w:rsidR="00E022E4">
        <w:t xml:space="preserve">, </w:t>
      </w:r>
      <w:r w:rsidR="000C44C9">
        <w:rPr>
          <w:rFonts w:hint="eastAsia"/>
        </w:rPr>
        <w:t xml:space="preserve">one </w:t>
      </w:r>
      <w:r w:rsidR="000C44C9">
        <w:t>aspect is the DL transmission pattern,</w:t>
      </w:r>
      <w:r w:rsidR="00D5491E">
        <w:t xml:space="preserve"> especially the NPSS/NSSS/NPCH transmission periodicity, UE would monitor these signal/channel to get the DL synchronization and system frame number. As indicated by WID,</w:t>
      </w:r>
      <w:r w:rsidR="00E022E4">
        <w:t xml:space="preserve"> </w:t>
      </w:r>
      <w:r w:rsidR="00CD7808">
        <w:t>o</w:t>
      </w:r>
      <w:r w:rsidR="00E022E4">
        <w:t xml:space="preserve">ne </w:t>
      </w:r>
      <w:r w:rsidR="00CD7808">
        <w:t>of</w:t>
      </w:r>
      <w:r w:rsidR="00E022E4">
        <w:t xml:space="preserve"> </w:t>
      </w:r>
      <w:r w:rsidR="00D5491E">
        <w:t>nine</w:t>
      </w:r>
      <w:r w:rsidR="00E022E4">
        <w:t xml:space="preserve"> radio frames</w:t>
      </w:r>
      <w:r w:rsidR="00D5491E">
        <w:t>, i.e., N=9, is assumed for DL transmission</w:t>
      </w:r>
      <w:r w:rsidR="00E022E4">
        <w:t>.</w:t>
      </w:r>
    </w:p>
    <w:p w14:paraId="53415113" w14:textId="77777777" w:rsidR="00CD0C87" w:rsidRDefault="00CD0C87" w:rsidP="00B43390">
      <w:pPr>
        <w:jc w:val="both"/>
      </w:pPr>
    </w:p>
    <w:tbl>
      <w:tblPr>
        <w:tblStyle w:val="TableGrid"/>
        <w:tblW w:w="0" w:type="auto"/>
        <w:tblLook w:val="04A0" w:firstRow="1" w:lastRow="0" w:firstColumn="1" w:lastColumn="0" w:noHBand="0" w:noVBand="1"/>
      </w:tblPr>
      <w:tblGrid>
        <w:gridCol w:w="9629"/>
      </w:tblGrid>
      <w:tr w:rsidR="00E022E4" w14:paraId="13C41F2E" w14:textId="77777777" w:rsidTr="00E022E4">
        <w:tc>
          <w:tcPr>
            <w:tcW w:w="9629" w:type="dxa"/>
          </w:tcPr>
          <w:p w14:paraId="2E65D5B4" w14:textId="287B9A67" w:rsidR="00E022E4" w:rsidRDefault="00E022E4" w:rsidP="00E022E4">
            <w:pPr>
              <w:numPr>
                <w:ilvl w:val="0"/>
                <w:numId w:val="58"/>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tc>
      </w:tr>
    </w:tbl>
    <w:p w14:paraId="58428E46" w14:textId="77777777" w:rsidR="00D64923" w:rsidRDefault="00746AD9" w:rsidP="00746AD9">
      <w:pPr>
        <w:spacing w:before="120" w:after="120"/>
      </w:pPr>
      <w:r>
        <w:t xml:space="preserve">Before NB-IoT NTN UE access the network, it needs to detect the NPSS, NSSS, and NPBCH to get the downlink synchronization. These signal and channel periodicities are fixed. According to the current specification, </w:t>
      </w:r>
    </w:p>
    <w:p w14:paraId="6E6395E7" w14:textId="3875DB08" w:rsidR="00D64923" w:rsidRDefault="00746AD9" w:rsidP="00D64923">
      <w:pPr>
        <w:pStyle w:val="ListParagraph"/>
        <w:numPr>
          <w:ilvl w:val="0"/>
          <w:numId w:val="58"/>
        </w:numPr>
        <w:spacing w:before="120" w:after="120"/>
        <w:rPr>
          <w:rFonts w:ascii="Times New Roman" w:hAnsi="Times New Roman"/>
          <w:sz w:val="24"/>
          <w:szCs w:val="24"/>
        </w:rPr>
      </w:pPr>
      <w:r w:rsidRPr="00D64923">
        <w:rPr>
          <w:rFonts w:ascii="Times New Roman" w:hAnsi="Times New Roman"/>
          <w:sz w:val="24"/>
          <w:szCs w:val="24"/>
        </w:rPr>
        <w:t xml:space="preserve">NPSS </w:t>
      </w:r>
      <w:r w:rsidR="00D64923">
        <w:rPr>
          <w:rFonts w:ascii="Times New Roman" w:hAnsi="Times New Roman"/>
          <w:sz w:val="24"/>
          <w:szCs w:val="24"/>
        </w:rPr>
        <w:t>is transmitted every</w:t>
      </w:r>
      <w:r w:rsidRPr="00D64923">
        <w:rPr>
          <w:rFonts w:ascii="Times New Roman" w:hAnsi="Times New Roman"/>
          <w:sz w:val="24"/>
          <w:szCs w:val="24"/>
        </w:rPr>
        <w:t xml:space="preserve"> 10ms</w:t>
      </w:r>
      <w:r w:rsidR="00D64923">
        <w:rPr>
          <w:rFonts w:ascii="Times New Roman" w:hAnsi="Times New Roman"/>
          <w:sz w:val="24"/>
          <w:szCs w:val="24"/>
        </w:rPr>
        <w:t xml:space="preserve"> in subframe#5.</w:t>
      </w:r>
    </w:p>
    <w:p w14:paraId="59722D87" w14:textId="0CFA99A1" w:rsidR="00D64923" w:rsidRDefault="00D64923" w:rsidP="00D64923">
      <w:pPr>
        <w:pStyle w:val="ListParagraph"/>
        <w:numPr>
          <w:ilvl w:val="0"/>
          <w:numId w:val="58"/>
        </w:numPr>
        <w:spacing w:before="120" w:after="120"/>
        <w:rPr>
          <w:rFonts w:ascii="Times New Roman" w:hAnsi="Times New Roman"/>
          <w:sz w:val="24"/>
          <w:szCs w:val="24"/>
        </w:rPr>
      </w:pPr>
      <w:r>
        <w:rPr>
          <w:rFonts w:ascii="Times New Roman" w:hAnsi="Times New Roman"/>
          <w:sz w:val="24"/>
          <w:szCs w:val="24"/>
        </w:rPr>
        <w:t>N</w:t>
      </w:r>
      <w:r w:rsidR="00746AD9" w:rsidRPr="00D64923">
        <w:rPr>
          <w:rFonts w:ascii="Times New Roman" w:hAnsi="Times New Roman"/>
          <w:sz w:val="24"/>
          <w:szCs w:val="24"/>
        </w:rPr>
        <w:t xml:space="preserve">SSS </w:t>
      </w:r>
      <w:r>
        <w:rPr>
          <w:rFonts w:ascii="Times New Roman" w:hAnsi="Times New Roman"/>
          <w:sz w:val="24"/>
          <w:szCs w:val="24"/>
        </w:rPr>
        <w:t xml:space="preserve">is transmitted every </w:t>
      </w:r>
      <w:r w:rsidR="00746AD9" w:rsidRPr="00D64923">
        <w:rPr>
          <w:rFonts w:ascii="Times New Roman" w:hAnsi="Times New Roman"/>
          <w:sz w:val="24"/>
          <w:szCs w:val="24"/>
        </w:rPr>
        <w:t>20ms</w:t>
      </w:r>
      <w:r>
        <w:rPr>
          <w:rFonts w:ascii="Times New Roman" w:hAnsi="Times New Roman"/>
          <w:sz w:val="24"/>
          <w:szCs w:val="24"/>
        </w:rPr>
        <w:t xml:space="preserve"> in subframe#9. Four NSSS sequences with different cyclic shifts are transmitted in 80ms.</w:t>
      </w:r>
    </w:p>
    <w:p w14:paraId="598FC443" w14:textId="2E1D42F0" w:rsidR="00D64923" w:rsidRPr="00D64923" w:rsidRDefault="00746AD9" w:rsidP="00D64923">
      <w:pPr>
        <w:pStyle w:val="ListParagraph"/>
        <w:numPr>
          <w:ilvl w:val="0"/>
          <w:numId w:val="58"/>
        </w:numPr>
        <w:spacing w:before="120" w:after="120"/>
        <w:rPr>
          <w:rFonts w:ascii="Times New Roman" w:hAnsi="Times New Roman"/>
          <w:sz w:val="24"/>
          <w:szCs w:val="24"/>
        </w:rPr>
      </w:pPr>
      <w:r w:rsidRPr="00D64923">
        <w:rPr>
          <w:rFonts w:ascii="Times New Roman" w:hAnsi="Times New Roman"/>
          <w:sz w:val="24"/>
          <w:szCs w:val="24"/>
        </w:rPr>
        <w:t xml:space="preserve">NPBCH </w:t>
      </w:r>
      <w:r w:rsidR="00D64923">
        <w:rPr>
          <w:rFonts w:ascii="Times New Roman" w:hAnsi="Times New Roman"/>
          <w:sz w:val="24"/>
          <w:szCs w:val="24"/>
        </w:rPr>
        <w:t>is transmitted every 10ms in subframe#0.</w:t>
      </w:r>
      <w:r w:rsidRPr="00D64923">
        <w:rPr>
          <w:rFonts w:ascii="Times New Roman" w:hAnsi="Times New Roman"/>
          <w:sz w:val="24"/>
          <w:szCs w:val="24"/>
        </w:rPr>
        <w:t xml:space="preserve"> </w:t>
      </w:r>
      <w:r w:rsidR="00D64923" w:rsidRPr="00D64923">
        <w:rPr>
          <w:rFonts w:ascii="Times New Roman" w:hAnsi="Times New Roman"/>
          <w:sz w:val="24"/>
          <w:szCs w:val="24"/>
        </w:rPr>
        <w:t>NPBCH consists of 8 independently decodable blocks spanning 80ms, MIB content remains unchanged for 640</w:t>
      </w:r>
      <w:r w:rsidR="00D64923">
        <w:rPr>
          <w:rFonts w:ascii="Times New Roman" w:hAnsi="Times New Roman"/>
          <w:sz w:val="24"/>
          <w:szCs w:val="24"/>
        </w:rPr>
        <w:t>ms.</w:t>
      </w:r>
    </w:p>
    <w:p w14:paraId="63F2D3D8" w14:textId="24E62C92" w:rsidR="00CD7808" w:rsidRPr="00D64923" w:rsidRDefault="00D64923" w:rsidP="00D64923">
      <w:pPr>
        <w:spacing w:before="120" w:after="120"/>
      </w:pPr>
      <w:r>
        <w:lastRenderedPageBreak/>
        <w:t>The NPSS, NSSS and NPBCH transmission pattern are shown in Figure 1 and Figure 2.</w:t>
      </w:r>
      <w:r w:rsidR="008B26EC">
        <w:t xml:space="preserve"> These </w:t>
      </w:r>
      <w:r w:rsidR="008B26EC" w:rsidRPr="00D64923">
        <w:t>transmission</w:t>
      </w:r>
      <w:r w:rsidR="00746AD9" w:rsidRPr="00D64923">
        <w:t xml:space="preserve"> patterns are not matched with the WID assumption</w:t>
      </w:r>
      <w:r w:rsidR="00746AD9" w:rsidRPr="00D64923">
        <w:rPr>
          <w:rFonts w:eastAsia="SimSun"/>
        </w:rPr>
        <w:t xml:space="preserve"> of</w:t>
      </w:r>
      <w:r w:rsidR="008B26EC">
        <w:rPr>
          <w:rFonts w:eastAsia="SimSun"/>
        </w:rPr>
        <w:t xml:space="preserve"> periodic transmission pattern</w:t>
      </w:r>
      <w:r w:rsidR="00746AD9" w:rsidRPr="00D64923">
        <w:rPr>
          <w:rFonts w:eastAsia="SimSun"/>
        </w:rPr>
        <w:t xml:space="preserve"> N=9.</w:t>
      </w:r>
    </w:p>
    <w:p w14:paraId="54C7FC76" w14:textId="77777777" w:rsidR="00CD7808" w:rsidRDefault="00CD7808" w:rsidP="0003353A">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AD9" w14:paraId="66DA831E" w14:textId="77777777" w:rsidTr="00CD7808">
        <w:tc>
          <w:tcPr>
            <w:tcW w:w="4814" w:type="dxa"/>
          </w:tcPr>
          <w:p w14:paraId="79F3A403" w14:textId="555C2833" w:rsidR="00CD7808" w:rsidRDefault="00746AD9" w:rsidP="0003353A">
            <w:pPr>
              <w:jc w:val="both"/>
            </w:pPr>
            <w:r w:rsidRPr="00746AD9">
              <w:rPr>
                <w:noProof/>
              </w:rPr>
              <w:drawing>
                <wp:inline distT="0" distB="0" distL="0" distR="0" wp14:anchorId="4B7F029F" wp14:editId="60E9D472">
                  <wp:extent cx="2711303" cy="703211"/>
                  <wp:effectExtent l="0" t="0" r="0" b="0"/>
                  <wp:docPr id="423155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55294" name=""/>
                          <pic:cNvPicPr/>
                        </pic:nvPicPr>
                        <pic:blipFill>
                          <a:blip r:embed="rId8"/>
                          <a:stretch>
                            <a:fillRect/>
                          </a:stretch>
                        </pic:blipFill>
                        <pic:spPr>
                          <a:xfrm>
                            <a:off x="0" y="0"/>
                            <a:ext cx="2844025" cy="737634"/>
                          </a:xfrm>
                          <a:prstGeom prst="rect">
                            <a:avLst/>
                          </a:prstGeom>
                        </pic:spPr>
                      </pic:pic>
                    </a:graphicData>
                  </a:graphic>
                </wp:inline>
              </w:drawing>
            </w:r>
          </w:p>
        </w:tc>
        <w:tc>
          <w:tcPr>
            <w:tcW w:w="4815" w:type="dxa"/>
          </w:tcPr>
          <w:p w14:paraId="12E7EF78" w14:textId="247198AF" w:rsidR="00CD7808" w:rsidRDefault="00CD7808" w:rsidP="0003353A">
            <w:pPr>
              <w:jc w:val="both"/>
            </w:pPr>
            <w:r w:rsidRPr="00CD7808">
              <w:rPr>
                <w:noProof/>
              </w:rPr>
              <w:drawing>
                <wp:inline distT="0" distB="0" distL="0" distR="0" wp14:anchorId="34FB3CE1" wp14:editId="57A6CED4">
                  <wp:extent cx="2780414" cy="736425"/>
                  <wp:effectExtent l="0" t="0" r="1270" b="635"/>
                  <wp:docPr id="1434105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05324" name=""/>
                          <pic:cNvPicPr/>
                        </pic:nvPicPr>
                        <pic:blipFill>
                          <a:blip r:embed="rId9"/>
                          <a:stretch>
                            <a:fillRect/>
                          </a:stretch>
                        </pic:blipFill>
                        <pic:spPr>
                          <a:xfrm>
                            <a:off x="0" y="0"/>
                            <a:ext cx="2846739" cy="753992"/>
                          </a:xfrm>
                          <a:prstGeom prst="rect">
                            <a:avLst/>
                          </a:prstGeom>
                        </pic:spPr>
                      </pic:pic>
                    </a:graphicData>
                  </a:graphic>
                </wp:inline>
              </w:drawing>
            </w:r>
          </w:p>
        </w:tc>
      </w:tr>
      <w:tr w:rsidR="00746AD9" w14:paraId="491238CA" w14:textId="77777777" w:rsidTr="00CD7808">
        <w:tc>
          <w:tcPr>
            <w:tcW w:w="4814" w:type="dxa"/>
          </w:tcPr>
          <w:p w14:paraId="67E4FC66" w14:textId="1A72A17C" w:rsidR="00CD7808" w:rsidRDefault="00CD7808" w:rsidP="0003353A">
            <w:pPr>
              <w:jc w:val="both"/>
            </w:pPr>
            <w:r>
              <w:t>Figure 1: NPSS and NSSS transmission pattern</w:t>
            </w:r>
          </w:p>
        </w:tc>
        <w:tc>
          <w:tcPr>
            <w:tcW w:w="4815" w:type="dxa"/>
          </w:tcPr>
          <w:p w14:paraId="56B3C17A" w14:textId="2895EBAE" w:rsidR="00CD7808" w:rsidRDefault="00CD7808" w:rsidP="0003353A">
            <w:pPr>
              <w:jc w:val="both"/>
            </w:pPr>
            <w:r>
              <w:t>Figure 2: NPBCH transmission pattern</w:t>
            </w:r>
          </w:p>
        </w:tc>
      </w:tr>
    </w:tbl>
    <w:p w14:paraId="37E1F108" w14:textId="4EF035BE" w:rsidR="00CD7808" w:rsidRDefault="00CD7808" w:rsidP="0003353A">
      <w:pPr>
        <w:jc w:val="both"/>
      </w:pPr>
    </w:p>
    <w:p w14:paraId="1C5BF6E8" w14:textId="2780C0FF" w:rsidR="00D5491E" w:rsidRDefault="003947C7" w:rsidP="003947C7">
      <w:pPr>
        <w:spacing w:before="120" w:after="120"/>
        <w:jc w:val="both"/>
      </w:pPr>
      <w:r>
        <w:rPr>
          <w:b/>
          <w:bCs/>
          <w:i/>
          <w:iCs/>
          <w:u w:val="single"/>
        </w:rPr>
        <w:t>Observation</w:t>
      </w:r>
      <w:r w:rsidRPr="00D906A0">
        <w:rPr>
          <w:b/>
          <w:bCs/>
          <w:i/>
          <w:iCs/>
          <w:u w:val="single"/>
        </w:rPr>
        <w:t>:</w:t>
      </w:r>
      <w:r w:rsidRPr="00D906A0">
        <w:rPr>
          <w:i/>
          <w:iCs/>
        </w:rPr>
        <w:t xml:space="preserve"> </w:t>
      </w:r>
      <w:r w:rsidRPr="003947C7">
        <w:rPr>
          <w:i/>
          <w:iCs/>
        </w:rPr>
        <w:t xml:space="preserve">NPSS, NSSS, and PBCH transmission periodicities does not match to </w:t>
      </w:r>
      <w:r w:rsidR="008B26EC">
        <w:rPr>
          <w:i/>
          <w:iCs/>
        </w:rPr>
        <w:t>N=</w:t>
      </w:r>
      <w:r w:rsidRPr="003947C7">
        <w:rPr>
          <w:i/>
          <w:iCs/>
        </w:rPr>
        <w:t xml:space="preserve">9 downlink periodic </w:t>
      </w:r>
      <w:r w:rsidR="008B26EC">
        <w:rPr>
          <w:i/>
          <w:iCs/>
        </w:rPr>
        <w:t>transmission pattern</w:t>
      </w:r>
      <w:r>
        <w:rPr>
          <w:i/>
          <w:iCs/>
        </w:rPr>
        <w:t>.</w:t>
      </w:r>
    </w:p>
    <w:p w14:paraId="6FD6CDD1" w14:textId="3726EA26" w:rsidR="00CD7808" w:rsidRDefault="00832761" w:rsidP="003947C7">
      <w:pPr>
        <w:spacing w:before="120" w:after="120"/>
      </w:pPr>
      <w:r>
        <w:t xml:space="preserve">In addition, the SIB1-NB is transmitted with a fixed periodicity of 2560ms, SIB1-NB </w:t>
      </w:r>
      <w:r w:rsidR="00BC6FDD">
        <w:t>transmission</w:t>
      </w:r>
      <w:r>
        <w:t xml:space="preserve"> occurs in subframe#4 of every other frame in 16 continuous frames, and supports 4, 8, and 16 repetitions within 2560ms periodicity. </w:t>
      </w:r>
      <w:r w:rsidR="008B26EC">
        <w:t>This should be considered in the periodic transmission pattern design.</w:t>
      </w:r>
    </w:p>
    <w:p w14:paraId="487D70BE" w14:textId="0FE59748" w:rsidR="00443F1D" w:rsidRPr="00443F1D" w:rsidRDefault="00815F37" w:rsidP="00C41F01">
      <w:pPr>
        <w:spacing w:before="120" w:after="120"/>
      </w:pPr>
      <w:r>
        <w:t xml:space="preserve">FDD NB-IoT NTN operating in unpaired band is a new deployment scenario. There are no existing devices working in this mode. </w:t>
      </w:r>
      <w:r w:rsidR="008B26EC">
        <w:t>T</w:t>
      </w:r>
      <w:r>
        <w:t xml:space="preserve">hus, there is no backward compatible issue for IoT-NTN mode. To define the downlink periodic </w:t>
      </w:r>
      <w:r w:rsidR="008B26EC">
        <w:t xml:space="preserve">transmission </w:t>
      </w:r>
      <w:r>
        <w:t xml:space="preserve">pattern, </w:t>
      </w:r>
      <w:r w:rsidRPr="00815F37">
        <w:t>NPSS/NSSS/NPBCH/SIB1-NB periodicity</w:t>
      </w:r>
      <w:r>
        <w:t xml:space="preserve"> </w:t>
      </w:r>
      <w:r w:rsidR="008B26EC">
        <w:t>may need to</w:t>
      </w:r>
      <w:r w:rsidR="00F5229D">
        <w:t xml:space="preserve"> update</w:t>
      </w:r>
      <w:r>
        <w:t xml:space="preserve">. Even without backward compatible issue, </w:t>
      </w:r>
      <w:r w:rsidR="002E249A">
        <w:t xml:space="preserve">at least </w:t>
      </w:r>
      <w:r>
        <w:t>the</w:t>
      </w:r>
      <w:r w:rsidR="00443F1D">
        <w:t xml:space="preserve"> following</w:t>
      </w:r>
      <w:r>
        <w:t xml:space="preserve"> design principle</w:t>
      </w:r>
      <w:r w:rsidR="002E249A">
        <w:t>s</w:t>
      </w:r>
      <w:r>
        <w:t xml:space="preserve"> of downlink periodic</w:t>
      </w:r>
      <w:r w:rsidR="00C41F01">
        <w:t xml:space="preserve"> transmission</w:t>
      </w:r>
      <w:r>
        <w:t xml:space="preserve"> pattern </w:t>
      </w:r>
      <w:r w:rsidR="002E249A">
        <w:t>need to</w:t>
      </w:r>
      <w:r>
        <w:t xml:space="preserve"> </w:t>
      </w:r>
      <w:r w:rsidR="00443F1D">
        <w:t>be considered:</w:t>
      </w:r>
      <w:r w:rsidR="00C41F01">
        <w:t xml:space="preserve"> S</w:t>
      </w:r>
      <w:r w:rsidRPr="00443F1D">
        <w:t>tandard impacts</w:t>
      </w:r>
      <w:r w:rsidR="00C41F01">
        <w:t>, I</w:t>
      </w:r>
      <w:r w:rsidRPr="00443F1D">
        <w:t>mplementation efforts</w:t>
      </w:r>
      <w:r w:rsidR="00C41F01">
        <w:t>; U</w:t>
      </w:r>
      <w:r w:rsidRPr="00443F1D">
        <w:t>E power consumption</w:t>
      </w:r>
      <w:r w:rsidR="00C41F01">
        <w:t xml:space="preserve">, </w:t>
      </w:r>
      <w:r w:rsidR="00443F1D">
        <w:t xml:space="preserve">Downlink </w:t>
      </w:r>
      <w:r w:rsidR="00C41F01">
        <w:t>c</w:t>
      </w:r>
      <w:r w:rsidR="00443F1D">
        <w:t>overage</w:t>
      </w:r>
      <w:r w:rsidR="00C41F01">
        <w:t>.</w:t>
      </w:r>
      <w:r w:rsidR="00443F1D">
        <w:t xml:space="preserve"> </w:t>
      </w:r>
    </w:p>
    <w:p w14:paraId="3C26F14F" w14:textId="03222D6C" w:rsidR="00BC6FDD" w:rsidRDefault="00BC6FDD" w:rsidP="00EF2936">
      <w:pPr>
        <w:spacing w:before="120" w:after="120"/>
        <w:jc w:val="both"/>
      </w:pPr>
      <w:r w:rsidRPr="00D906A0">
        <w:rPr>
          <w:b/>
          <w:bCs/>
          <w:i/>
          <w:iCs/>
          <w:u w:val="single"/>
        </w:rPr>
        <w:t>Proposal 1:</w:t>
      </w:r>
      <w:r w:rsidRPr="00D906A0">
        <w:rPr>
          <w:i/>
          <w:iCs/>
        </w:rPr>
        <w:t xml:space="preserve"> </w:t>
      </w:r>
      <w:r w:rsidRPr="00BC6FDD">
        <w:rPr>
          <w:i/>
          <w:iCs/>
        </w:rPr>
        <w:t xml:space="preserve">RAN1 to </w:t>
      </w:r>
      <w:r w:rsidRPr="000E449B">
        <w:rPr>
          <w:i/>
          <w:iCs/>
        </w:rPr>
        <w:t>determine the transmission pattern for DL synchronization</w:t>
      </w:r>
      <w:r>
        <w:rPr>
          <w:i/>
          <w:iCs/>
        </w:rPr>
        <w:t xml:space="preserve"> considering the NPSS/NSSS/NPBCH/SIB1-NB </w:t>
      </w:r>
      <w:r w:rsidR="00C41F01">
        <w:rPr>
          <w:i/>
          <w:iCs/>
        </w:rPr>
        <w:t xml:space="preserve">transmission </w:t>
      </w:r>
      <w:r>
        <w:rPr>
          <w:i/>
          <w:iCs/>
        </w:rPr>
        <w:t>periodicity.</w:t>
      </w:r>
    </w:p>
    <w:p w14:paraId="1CEBB663" w14:textId="48E7007F" w:rsidR="00CD7808" w:rsidRDefault="00EF2936" w:rsidP="00EF2936">
      <w:pPr>
        <w:spacing w:before="120" w:after="120"/>
        <w:jc w:val="both"/>
      </w:pPr>
      <w:r>
        <w:t>For NB-IoT downlink control channel, to support IoT-NTN TDD mode, NPDCCH search space configurations</w:t>
      </w:r>
      <w:r w:rsidR="008253B9">
        <w:t>, e.g., repetition number and periodicity,</w:t>
      </w:r>
      <w:r>
        <w:t xml:space="preserve"> are restricted to adapt the periodic transmission pattern</w:t>
      </w:r>
      <w:r w:rsidR="008253B9">
        <w:t>.</w:t>
      </w:r>
      <w:r>
        <w:t xml:space="preserve"> </w:t>
      </w:r>
    </w:p>
    <w:p w14:paraId="7C0A28C7" w14:textId="7BFFDA8C" w:rsidR="008253B9" w:rsidRDefault="008253B9" w:rsidP="00EF2936">
      <w:pPr>
        <w:spacing w:before="120" w:after="120"/>
        <w:jc w:val="both"/>
      </w:pPr>
      <w:r>
        <w:t xml:space="preserve">For NB-IoT </w:t>
      </w:r>
      <w:r w:rsidR="0040798D">
        <w:t xml:space="preserve">downlink </w:t>
      </w:r>
      <w:r>
        <w:t>data channel, the repetition number and scheduling delay could be impacted by the IoT NTN TDD mode. If the scheduled NPDSCH is out of downlink subframes indicated by the periodic transmission pattern, UE behavior need</w:t>
      </w:r>
      <w:r w:rsidR="004F219D">
        <w:t>s</w:t>
      </w:r>
      <w:r>
        <w:t xml:space="preserve"> to be specified.  </w:t>
      </w:r>
    </w:p>
    <w:p w14:paraId="122EA5D5" w14:textId="0A403A0A" w:rsidR="00CD7808" w:rsidRDefault="0040798D" w:rsidP="00C41F01">
      <w:pPr>
        <w:spacing w:before="120" w:after="120"/>
      </w:pPr>
      <w:r>
        <w:t>For NB-IoT uplink data channel, 15kHz and 3.75kHz SCS are supported. For the typical single tone transmission, one RU occupies 32ms for 3.75KHz SCS and 8ms for 15kHz SCS.</w:t>
      </w:r>
      <w:r w:rsidR="004F219D">
        <w:t xml:space="preserve"> The NPUSCH transmission will take longer time considering</w:t>
      </w:r>
      <w:r w:rsidR="00C41F01">
        <w:t xml:space="preserve"> </w:t>
      </w:r>
      <w:r w:rsidR="004F219D">
        <w:t>repetition and scheduling delay. The IoT-NTN TDD mode will restrict the NPUSCH scheduling</w:t>
      </w:r>
      <w:r w:rsidR="003C0D74">
        <w:t>. Similar as downlink, the NPUSCH out of uplink subframes of periodic transmission pattern need to be considered.</w:t>
      </w:r>
    </w:p>
    <w:p w14:paraId="5CE1A2AE" w14:textId="33AD8A04" w:rsidR="00477A66" w:rsidRDefault="00376DD4" w:rsidP="003F2840">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BC6FDD">
        <w:rPr>
          <w:i/>
          <w:iCs/>
        </w:rPr>
        <w:t xml:space="preserve">RAN1 to </w:t>
      </w:r>
      <w:r w:rsidRPr="000E449B">
        <w:rPr>
          <w:i/>
          <w:iCs/>
        </w:rPr>
        <w:t>study the IoT-NTN TDD mode impacts on DL and UL scheduling</w:t>
      </w:r>
      <w:r>
        <w:rPr>
          <w:i/>
          <w:iCs/>
        </w:rPr>
        <w:t>.</w:t>
      </w:r>
      <w:r w:rsidRPr="000E449B">
        <w:rPr>
          <w:i/>
          <w:iCs/>
        </w:rPr>
        <w:t xml:space="preserve">  </w:t>
      </w:r>
    </w:p>
    <w:p w14:paraId="2B8CEB55" w14:textId="23AF0BEA" w:rsidR="000F3350" w:rsidRDefault="0040798D" w:rsidP="003F2840">
      <w:pPr>
        <w:spacing w:before="120" w:after="120"/>
        <w:jc w:val="both"/>
      </w:pPr>
      <w:r>
        <w:t xml:space="preserve">In current spec, NPRACH periodicity is in the range of </w:t>
      </w:r>
      <w:r w:rsidRPr="0040798D">
        <w:t>{40, 80, 160, 240, 320, 640, 1280, 2560}</w:t>
      </w:r>
      <w:proofErr w:type="spellStart"/>
      <w:r w:rsidRPr="0040798D">
        <w:t>ms</w:t>
      </w:r>
      <w:r>
        <w:t>.</w:t>
      </w:r>
      <w:proofErr w:type="spellEnd"/>
      <w:r w:rsidR="003C0D74">
        <w:t xml:space="preserve"> One PRACH transmission will take 6.4ms for PRACH format 0 and 5.6ms for PRACH format 1. These factors shall be considered in the periodic transmission pattern design.</w:t>
      </w:r>
    </w:p>
    <w:p w14:paraId="35135B32" w14:textId="48EB61F1" w:rsidR="003C0D74" w:rsidRDefault="003F2840" w:rsidP="003F2840">
      <w:pPr>
        <w:spacing w:before="120" w:after="120"/>
        <w:jc w:val="both"/>
      </w:pPr>
      <w:r>
        <w:t>After the PRACH preamble transmission, the UE would start to monitor RA response window from the end of the last preamble repetition plus a fix subframes plus UE-</w:t>
      </w:r>
      <w:proofErr w:type="spellStart"/>
      <w:r>
        <w:t>eNB</w:t>
      </w:r>
      <w:proofErr w:type="spellEnd"/>
      <w:r>
        <w:t xml:space="preserve"> RTT. Currently the window size is multiple of PDCCH period. It would require periodic transmission pattern to cover the RA response window.</w:t>
      </w:r>
    </w:p>
    <w:p w14:paraId="6D34058B" w14:textId="35B674D9" w:rsidR="00376DD4" w:rsidRDefault="00376DD4" w:rsidP="003F2840">
      <w:pPr>
        <w:spacing w:before="120"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Pr="00BC6FDD">
        <w:rPr>
          <w:i/>
          <w:iCs/>
        </w:rPr>
        <w:t xml:space="preserve">RAN1 to </w:t>
      </w:r>
      <w:r w:rsidRPr="000E449B">
        <w:rPr>
          <w:i/>
          <w:iCs/>
        </w:rPr>
        <w:t xml:space="preserve">study the IoT-NTN TDD mode impacts on </w:t>
      </w:r>
      <w:r>
        <w:rPr>
          <w:i/>
          <w:iCs/>
        </w:rPr>
        <w:t>random access.</w:t>
      </w:r>
      <w:r w:rsidRPr="000E449B">
        <w:rPr>
          <w:i/>
          <w:iCs/>
        </w:rPr>
        <w:t xml:space="preserve">  </w:t>
      </w:r>
    </w:p>
    <w:p w14:paraId="2896E657" w14:textId="2DF29AD0" w:rsidR="00854A60" w:rsidRPr="00A6576F" w:rsidRDefault="009C5A97" w:rsidP="00FB330B">
      <w:pPr>
        <w:pStyle w:val="Heading1"/>
      </w:pPr>
      <w:r w:rsidRPr="00A6576F">
        <w:lastRenderedPageBreak/>
        <w:t>Conclusion</w:t>
      </w:r>
    </w:p>
    <w:p w14:paraId="56E0A2D0" w14:textId="13D2B3B3"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 xml:space="preserve">-NTN </w:t>
      </w:r>
      <w:r w:rsidR="008253B9">
        <w:t>TDD mode</w:t>
      </w:r>
      <w:r w:rsidR="00F2767C">
        <w:t xml:space="preserve">. </w:t>
      </w:r>
      <w:r>
        <w:t>Our</w:t>
      </w:r>
      <w:r w:rsidR="000D011A">
        <w:t xml:space="preserve"> </w:t>
      </w:r>
      <w:r w:rsidR="00CE3D12">
        <w:t xml:space="preserve">observation and </w:t>
      </w:r>
      <w:r>
        <w:t>proposals are as follows:</w:t>
      </w:r>
    </w:p>
    <w:p w14:paraId="64ACDDE8" w14:textId="5F5D8C36" w:rsidR="000F694C" w:rsidRPr="000F694C" w:rsidRDefault="000F694C" w:rsidP="00383D6E">
      <w:pPr>
        <w:spacing w:before="120" w:after="120"/>
        <w:jc w:val="both"/>
      </w:pPr>
      <w:r>
        <w:rPr>
          <w:b/>
          <w:bCs/>
          <w:i/>
          <w:iCs/>
          <w:u w:val="single"/>
        </w:rPr>
        <w:t>Observation</w:t>
      </w:r>
      <w:r w:rsidRPr="00D906A0">
        <w:rPr>
          <w:b/>
          <w:bCs/>
          <w:i/>
          <w:iCs/>
          <w:u w:val="single"/>
        </w:rPr>
        <w:t>:</w:t>
      </w:r>
      <w:r w:rsidRPr="00D906A0">
        <w:rPr>
          <w:i/>
          <w:iCs/>
        </w:rPr>
        <w:t xml:space="preserve"> </w:t>
      </w:r>
      <w:r w:rsidRPr="003947C7">
        <w:rPr>
          <w:i/>
          <w:iCs/>
        </w:rPr>
        <w:t xml:space="preserve">NPSS, NSSS, and PBCH transmission periodicities does not match to </w:t>
      </w:r>
      <w:r>
        <w:rPr>
          <w:i/>
          <w:iCs/>
        </w:rPr>
        <w:t>N=</w:t>
      </w:r>
      <w:r w:rsidRPr="003947C7">
        <w:rPr>
          <w:i/>
          <w:iCs/>
        </w:rPr>
        <w:t xml:space="preserve">9 downlink periodic </w:t>
      </w:r>
      <w:r>
        <w:rPr>
          <w:i/>
          <w:iCs/>
        </w:rPr>
        <w:t>transmission pattern.</w:t>
      </w:r>
    </w:p>
    <w:p w14:paraId="327FD10B" w14:textId="5D6AC8F9" w:rsidR="00383D6E" w:rsidRDefault="00383D6E" w:rsidP="00383D6E">
      <w:pPr>
        <w:spacing w:before="120" w:after="120"/>
        <w:jc w:val="both"/>
      </w:pPr>
      <w:r w:rsidRPr="00D906A0">
        <w:rPr>
          <w:b/>
          <w:bCs/>
          <w:i/>
          <w:iCs/>
          <w:u w:val="single"/>
        </w:rPr>
        <w:t>Proposal 1:</w:t>
      </w:r>
      <w:r w:rsidRPr="00D906A0">
        <w:rPr>
          <w:i/>
          <w:iCs/>
        </w:rPr>
        <w:t xml:space="preserve"> </w:t>
      </w:r>
      <w:r w:rsidRPr="00BC6FDD">
        <w:rPr>
          <w:i/>
          <w:iCs/>
        </w:rPr>
        <w:t xml:space="preserve">RAN1 to </w:t>
      </w:r>
      <w:r w:rsidRPr="000E449B">
        <w:rPr>
          <w:i/>
          <w:iCs/>
        </w:rPr>
        <w:t>determine the transmission pattern for DL synchronization</w:t>
      </w:r>
      <w:r>
        <w:rPr>
          <w:i/>
          <w:iCs/>
        </w:rPr>
        <w:t xml:space="preserve"> considering the NPSS/NSSS/NPBCH/SIB1-NB transmission periodicity.</w:t>
      </w:r>
    </w:p>
    <w:p w14:paraId="04B77BAD" w14:textId="77777777" w:rsidR="00383D6E" w:rsidRDefault="00383D6E" w:rsidP="00383D6E">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Pr="00BC6FDD">
        <w:rPr>
          <w:i/>
          <w:iCs/>
        </w:rPr>
        <w:t xml:space="preserve">RAN1 to </w:t>
      </w:r>
      <w:r w:rsidRPr="000E449B">
        <w:rPr>
          <w:i/>
          <w:iCs/>
        </w:rPr>
        <w:t>study the IoT-NTN TDD mode impacts on DL and UL scheduling</w:t>
      </w:r>
      <w:r>
        <w:rPr>
          <w:i/>
          <w:iCs/>
        </w:rPr>
        <w:t>.</w:t>
      </w:r>
      <w:r w:rsidRPr="000E449B">
        <w:rPr>
          <w:i/>
          <w:iCs/>
        </w:rPr>
        <w:t xml:space="preserve">  </w:t>
      </w:r>
    </w:p>
    <w:p w14:paraId="3F06E488" w14:textId="07F56A2F" w:rsidR="00E41234" w:rsidRPr="001B2C18" w:rsidRDefault="00383D6E" w:rsidP="00E41234">
      <w:pPr>
        <w:spacing w:before="120"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Pr="00BC6FDD">
        <w:rPr>
          <w:i/>
          <w:iCs/>
        </w:rPr>
        <w:t xml:space="preserve">RAN1 to </w:t>
      </w:r>
      <w:r w:rsidRPr="000E449B">
        <w:rPr>
          <w:i/>
          <w:iCs/>
        </w:rPr>
        <w:t xml:space="preserve">study the IoT-NTN TDD mode impacts on </w:t>
      </w:r>
      <w:r>
        <w:rPr>
          <w:i/>
          <w:iCs/>
        </w:rPr>
        <w:t>random access.</w:t>
      </w:r>
      <w:r w:rsidRPr="000E449B">
        <w:rPr>
          <w:i/>
          <w:iCs/>
        </w:rPr>
        <w:t xml:space="preserve">  </w:t>
      </w:r>
    </w:p>
    <w:p w14:paraId="2E75F001" w14:textId="77777777" w:rsidR="007E70BB" w:rsidRPr="00A6576F" w:rsidRDefault="005C63AE" w:rsidP="007E70BB">
      <w:pPr>
        <w:pStyle w:val="Heading1"/>
      </w:pPr>
      <w:r w:rsidRPr="00A6576F">
        <w:t>References</w:t>
      </w:r>
    </w:p>
    <w:p w14:paraId="54110962" w14:textId="1BC1C6FE"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-24</w:t>
      </w:r>
      <w:r w:rsidR="00B43390">
        <w:t>2415</w:t>
      </w:r>
      <w:r>
        <w:t xml:space="preserve">, </w:t>
      </w:r>
      <w:r w:rsidR="002D2038">
        <w:t>“</w:t>
      </w:r>
      <w:r w:rsidR="002D2038" w:rsidRPr="002D2038">
        <w:rPr>
          <w:bCs/>
          <w:lang w:val="en-GB"/>
        </w:rPr>
        <w:t>New WID</w:t>
      </w:r>
      <w:r w:rsidR="00B43390" w:rsidRPr="00B43390">
        <w:rPr>
          <w:rFonts w:ascii="Arial" w:eastAsia="Batang" w:hAnsi="Arial" w:cs="Arial"/>
          <w:b/>
          <w:lang w:eastAsia="ar-SA"/>
        </w:rPr>
        <w:t xml:space="preserve"> </w:t>
      </w:r>
      <w:r w:rsidR="00B43390" w:rsidRPr="00B43390">
        <w:t>on introduction of IoT-NTN TDD mode</w:t>
      </w:r>
      <w:r w:rsidRPr="000E0BC7">
        <w:t>”</w:t>
      </w:r>
      <w:r>
        <w:t xml:space="preserve"> </w:t>
      </w:r>
      <w:r w:rsidR="00B43390">
        <w:t>Sep</w:t>
      </w:r>
      <w:r w:rsidR="002D2038">
        <w:t>.</w:t>
      </w:r>
      <w:r>
        <w:t xml:space="preserve"> 202</w:t>
      </w:r>
      <w:r w:rsidR="00B43390">
        <w:t>4</w:t>
      </w:r>
      <w:r>
        <w:t>.</w:t>
      </w:r>
      <w:bookmarkEnd w:id="1"/>
      <w:r>
        <w:t xml:space="preserve"> </w:t>
      </w:r>
      <w:bookmarkStart w:id="10" w:name="_Ref146637819"/>
    </w:p>
    <w:bookmarkEnd w:id="2"/>
    <w:bookmarkEnd w:id="3"/>
    <w:bookmarkEnd w:id="4"/>
    <w:bookmarkEnd w:id="5"/>
    <w:bookmarkEnd w:id="6"/>
    <w:bookmarkEnd w:id="7"/>
    <w:bookmarkEnd w:id="8"/>
    <w:bookmarkEnd w:id="9"/>
    <w:bookmarkEnd w:id="10"/>
    <w:p w14:paraId="23EC8D1D" w14:textId="73FBB39F" w:rsidR="0058546D" w:rsidRPr="00FF061A" w:rsidRDefault="00B43390" w:rsidP="005F2A4B">
      <w:pPr>
        <w:overflowPunct w:val="0"/>
        <w:autoSpaceDE w:val="0"/>
        <w:autoSpaceDN w:val="0"/>
        <w:adjustRightInd w:val="0"/>
        <w:spacing w:before="100" w:beforeAutospacing="1" w:after="120"/>
        <w:jc w:val="both"/>
        <w:textAlignment w:val="baseline"/>
      </w:pPr>
      <w:r>
        <w:t xml:space="preserve"> </w:t>
      </w:r>
    </w:p>
    <w:sectPr w:rsidR="0058546D" w:rsidRPr="00FF061A" w:rsidSect="00CD7808">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EA01F" w14:textId="77777777" w:rsidR="00D233CE" w:rsidRDefault="00D233CE">
      <w:r>
        <w:separator/>
      </w:r>
    </w:p>
  </w:endnote>
  <w:endnote w:type="continuationSeparator" w:id="0">
    <w:p w14:paraId="7AFC55F6" w14:textId="77777777" w:rsidR="00D233CE" w:rsidRDefault="00D233CE">
      <w:r>
        <w:continuationSeparator/>
      </w:r>
    </w:p>
  </w:endnote>
  <w:endnote w:type="continuationNotice" w:id="1">
    <w:p w14:paraId="2558C1F8" w14:textId="77777777" w:rsidR="00D233CE" w:rsidRDefault="00D2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A1814" w14:textId="77777777" w:rsidR="00D233CE" w:rsidRDefault="00D233CE">
      <w:r>
        <w:separator/>
      </w:r>
    </w:p>
  </w:footnote>
  <w:footnote w:type="continuationSeparator" w:id="0">
    <w:p w14:paraId="09DB3DB2" w14:textId="77777777" w:rsidR="00D233CE" w:rsidRDefault="00D233CE">
      <w:r>
        <w:continuationSeparator/>
      </w:r>
    </w:p>
  </w:footnote>
  <w:footnote w:type="continuationNotice" w:id="1">
    <w:p w14:paraId="6FD418D4" w14:textId="77777777" w:rsidR="00D233CE" w:rsidRDefault="00D233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87AE4"/>
    <w:multiLevelType w:val="hybridMultilevel"/>
    <w:tmpl w:val="4C42D51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5A73CFB"/>
    <w:multiLevelType w:val="hybridMultilevel"/>
    <w:tmpl w:val="5072B39E"/>
    <w:lvl w:ilvl="0" w:tplc="605648F6">
      <w:start w:val="1"/>
      <w:numFmt w:val="bullet"/>
      <w:lvlText w:val="•"/>
      <w:lvlJc w:val="left"/>
      <w:pPr>
        <w:tabs>
          <w:tab w:val="num" w:pos="720"/>
        </w:tabs>
        <w:ind w:left="720" w:hanging="360"/>
      </w:pPr>
      <w:rPr>
        <w:rFonts w:ascii="Arial" w:hAnsi="Arial" w:hint="default"/>
      </w:rPr>
    </w:lvl>
    <w:lvl w:ilvl="1" w:tplc="7F50BD38" w:tentative="1">
      <w:start w:val="1"/>
      <w:numFmt w:val="bullet"/>
      <w:lvlText w:val="•"/>
      <w:lvlJc w:val="left"/>
      <w:pPr>
        <w:tabs>
          <w:tab w:val="num" w:pos="1440"/>
        </w:tabs>
        <w:ind w:left="1440" w:hanging="360"/>
      </w:pPr>
      <w:rPr>
        <w:rFonts w:ascii="Arial" w:hAnsi="Arial" w:hint="default"/>
      </w:rPr>
    </w:lvl>
    <w:lvl w:ilvl="2" w:tplc="7D12B83A" w:tentative="1">
      <w:start w:val="1"/>
      <w:numFmt w:val="bullet"/>
      <w:lvlText w:val="•"/>
      <w:lvlJc w:val="left"/>
      <w:pPr>
        <w:tabs>
          <w:tab w:val="num" w:pos="2160"/>
        </w:tabs>
        <w:ind w:left="2160" w:hanging="360"/>
      </w:pPr>
      <w:rPr>
        <w:rFonts w:ascii="Arial" w:hAnsi="Arial" w:hint="default"/>
      </w:rPr>
    </w:lvl>
    <w:lvl w:ilvl="3" w:tplc="149ADC68" w:tentative="1">
      <w:start w:val="1"/>
      <w:numFmt w:val="bullet"/>
      <w:lvlText w:val="•"/>
      <w:lvlJc w:val="left"/>
      <w:pPr>
        <w:tabs>
          <w:tab w:val="num" w:pos="2880"/>
        </w:tabs>
        <w:ind w:left="2880" w:hanging="360"/>
      </w:pPr>
      <w:rPr>
        <w:rFonts w:ascii="Arial" w:hAnsi="Arial" w:hint="default"/>
      </w:rPr>
    </w:lvl>
    <w:lvl w:ilvl="4" w:tplc="31F6F44E" w:tentative="1">
      <w:start w:val="1"/>
      <w:numFmt w:val="bullet"/>
      <w:lvlText w:val="•"/>
      <w:lvlJc w:val="left"/>
      <w:pPr>
        <w:tabs>
          <w:tab w:val="num" w:pos="3600"/>
        </w:tabs>
        <w:ind w:left="3600" w:hanging="360"/>
      </w:pPr>
      <w:rPr>
        <w:rFonts w:ascii="Arial" w:hAnsi="Arial" w:hint="default"/>
      </w:rPr>
    </w:lvl>
    <w:lvl w:ilvl="5" w:tplc="D83AC3BA" w:tentative="1">
      <w:start w:val="1"/>
      <w:numFmt w:val="bullet"/>
      <w:lvlText w:val="•"/>
      <w:lvlJc w:val="left"/>
      <w:pPr>
        <w:tabs>
          <w:tab w:val="num" w:pos="4320"/>
        </w:tabs>
        <w:ind w:left="4320" w:hanging="360"/>
      </w:pPr>
      <w:rPr>
        <w:rFonts w:ascii="Arial" w:hAnsi="Arial" w:hint="default"/>
      </w:rPr>
    </w:lvl>
    <w:lvl w:ilvl="6" w:tplc="38A6C430" w:tentative="1">
      <w:start w:val="1"/>
      <w:numFmt w:val="bullet"/>
      <w:lvlText w:val="•"/>
      <w:lvlJc w:val="left"/>
      <w:pPr>
        <w:tabs>
          <w:tab w:val="num" w:pos="5040"/>
        </w:tabs>
        <w:ind w:left="5040" w:hanging="360"/>
      </w:pPr>
      <w:rPr>
        <w:rFonts w:ascii="Arial" w:hAnsi="Arial" w:hint="default"/>
      </w:rPr>
    </w:lvl>
    <w:lvl w:ilvl="7" w:tplc="054ED86C" w:tentative="1">
      <w:start w:val="1"/>
      <w:numFmt w:val="bullet"/>
      <w:lvlText w:val="•"/>
      <w:lvlJc w:val="left"/>
      <w:pPr>
        <w:tabs>
          <w:tab w:val="num" w:pos="5760"/>
        </w:tabs>
        <w:ind w:left="5760" w:hanging="360"/>
      </w:pPr>
      <w:rPr>
        <w:rFonts w:ascii="Arial" w:hAnsi="Arial" w:hint="default"/>
      </w:rPr>
    </w:lvl>
    <w:lvl w:ilvl="8" w:tplc="316EC7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2"/>
  </w:num>
  <w:num w:numId="3" w16cid:durableId="235363559">
    <w:abstractNumId w:val="26"/>
  </w:num>
  <w:num w:numId="4" w16cid:durableId="989679355">
    <w:abstractNumId w:val="28"/>
  </w:num>
  <w:num w:numId="5" w16cid:durableId="409810781">
    <w:abstractNumId w:val="21"/>
  </w:num>
  <w:num w:numId="6" w16cid:durableId="2081513416">
    <w:abstractNumId w:val="30"/>
  </w:num>
  <w:num w:numId="7" w16cid:durableId="1568495607">
    <w:abstractNumId w:val="45"/>
  </w:num>
  <w:num w:numId="8" w16cid:durableId="1929077284">
    <w:abstractNumId w:val="22"/>
  </w:num>
  <w:num w:numId="9" w16cid:durableId="69206241">
    <w:abstractNumId w:val="35"/>
  </w:num>
  <w:num w:numId="10" w16cid:durableId="1314335830">
    <w:abstractNumId w:val="1"/>
  </w:num>
  <w:num w:numId="11" w16cid:durableId="586155756">
    <w:abstractNumId w:val="29"/>
  </w:num>
  <w:num w:numId="12" w16cid:durableId="1461416379">
    <w:abstractNumId w:val="31"/>
  </w:num>
  <w:num w:numId="13" w16cid:durableId="131097616">
    <w:abstractNumId w:val="11"/>
  </w:num>
  <w:num w:numId="14" w16cid:durableId="1330669507">
    <w:abstractNumId w:val="44"/>
  </w:num>
  <w:num w:numId="15" w16cid:durableId="1544708605">
    <w:abstractNumId w:val="10"/>
  </w:num>
  <w:num w:numId="16" w16cid:durableId="1647202359">
    <w:abstractNumId w:val="27"/>
  </w:num>
  <w:num w:numId="17" w16cid:durableId="366611127">
    <w:abstractNumId w:val="0"/>
  </w:num>
  <w:num w:numId="18" w16cid:durableId="1176379521">
    <w:abstractNumId w:val="57"/>
  </w:num>
  <w:num w:numId="19" w16cid:durableId="494035189">
    <w:abstractNumId w:val="15"/>
  </w:num>
  <w:num w:numId="20" w16cid:durableId="1886402229">
    <w:abstractNumId w:val="56"/>
  </w:num>
  <w:num w:numId="21" w16cid:durableId="2128230243">
    <w:abstractNumId w:val="54"/>
  </w:num>
  <w:num w:numId="22" w16cid:durableId="31351445">
    <w:abstractNumId w:val="46"/>
  </w:num>
  <w:num w:numId="23" w16cid:durableId="1081098852">
    <w:abstractNumId w:val="5"/>
  </w:num>
  <w:num w:numId="24" w16cid:durableId="585111641">
    <w:abstractNumId w:val="9"/>
  </w:num>
  <w:num w:numId="25" w16cid:durableId="1769615368">
    <w:abstractNumId w:val="47"/>
  </w:num>
  <w:num w:numId="26" w16cid:durableId="1914119897">
    <w:abstractNumId w:val="16"/>
  </w:num>
  <w:num w:numId="27" w16cid:durableId="320233550">
    <w:abstractNumId w:val="13"/>
  </w:num>
  <w:num w:numId="28" w16cid:durableId="1797259966">
    <w:abstractNumId w:val="4"/>
  </w:num>
  <w:num w:numId="29" w16cid:durableId="1824543099">
    <w:abstractNumId w:val="39"/>
  </w:num>
  <w:num w:numId="30" w16cid:durableId="810824541">
    <w:abstractNumId w:val="8"/>
  </w:num>
  <w:num w:numId="31" w16cid:durableId="612783970">
    <w:abstractNumId w:val="58"/>
  </w:num>
  <w:num w:numId="32" w16cid:durableId="922572308">
    <w:abstractNumId w:val="52"/>
  </w:num>
  <w:num w:numId="33" w16cid:durableId="489830261">
    <w:abstractNumId w:val="25"/>
  </w:num>
  <w:num w:numId="34" w16cid:durableId="1596014999">
    <w:abstractNumId w:val="3"/>
  </w:num>
  <w:num w:numId="35" w16cid:durableId="654266786">
    <w:abstractNumId w:val="51"/>
  </w:num>
  <w:num w:numId="36" w16cid:durableId="1456556740">
    <w:abstractNumId w:val="49"/>
  </w:num>
  <w:num w:numId="37" w16cid:durableId="1670711974">
    <w:abstractNumId w:val="55"/>
  </w:num>
  <w:num w:numId="38" w16cid:durableId="1633756099">
    <w:abstractNumId w:val="20"/>
  </w:num>
  <w:num w:numId="39" w16cid:durableId="193033440">
    <w:abstractNumId w:val="12"/>
  </w:num>
  <w:num w:numId="40" w16cid:durableId="738986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6"/>
  </w:num>
  <w:num w:numId="43" w16cid:durableId="2051612355">
    <w:abstractNumId w:val="38"/>
  </w:num>
  <w:num w:numId="44" w16cid:durableId="308293529">
    <w:abstractNumId w:val="33"/>
  </w:num>
  <w:num w:numId="45" w16cid:durableId="540901058">
    <w:abstractNumId w:val="19"/>
  </w:num>
  <w:num w:numId="46" w16cid:durableId="1371148412">
    <w:abstractNumId w:val="17"/>
  </w:num>
  <w:num w:numId="47" w16cid:durableId="288556596">
    <w:abstractNumId w:val="43"/>
  </w:num>
  <w:num w:numId="48" w16cid:durableId="1058212875">
    <w:abstractNumId w:val="24"/>
  </w:num>
  <w:num w:numId="49" w16cid:durableId="443576224">
    <w:abstractNumId w:val="40"/>
  </w:num>
  <w:num w:numId="50" w16cid:durableId="184368873">
    <w:abstractNumId w:val="50"/>
  </w:num>
  <w:num w:numId="51" w16cid:durableId="1079137808">
    <w:abstractNumId w:val="41"/>
  </w:num>
  <w:num w:numId="52" w16cid:durableId="1874029859">
    <w:abstractNumId w:val="34"/>
  </w:num>
  <w:num w:numId="53" w16cid:durableId="147594690">
    <w:abstractNumId w:val="53"/>
  </w:num>
  <w:num w:numId="54" w16cid:durableId="134807682">
    <w:abstractNumId w:val="18"/>
  </w:num>
  <w:num w:numId="55" w16cid:durableId="296033271">
    <w:abstractNumId w:val="23"/>
  </w:num>
  <w:num w:numId="56" w16cid:durableId="1770736588">
    <w:abstractNumId w:val="2"/>
  </w:num>
  <w:num w:numId="57" w16cid:durableId="533421742">
    <w:abstractNumId w:val="48"/>
  </w:num>
  <w:num w:numId="58" w16cid:durableId="460004135">
    <w:abstractNumId w:val="37"/>
  </w:num>
  <w:num w:numId="59" w16cid:durableId="1663968273">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5C"/>
    <w:rsid w:val="00071841"/>
    <w:rsid w:val="00071F96"/>
    <w:rsid w:val="000721FE"/>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4C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49B"/>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94C"/>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49A"/>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DD4"/>
    <w:rsid w:val="00377CE1"/>
    <w:rsid w:val="003807F1"/>
    <w:rsid w:val="00380CEE"/>
    <w:rsid w:val="003815BB"/>
    <w:rsid w:val="00381638"/>
    <w:rsid w:val="0038168D"/>
    <w:rsid w:val="003817E4"/>
    <w:rsid w:val="00382541"/>
    <w:rsid w:val="00383C13"/>
    <w:rsid w:val="00383D6E"/>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47C7"/>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D74"/>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840"/>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4D8C"/>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98D"/>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91C"/>
    <w:rsid w:val="00427248"/>
    <w:rsid w:val="004272E5"/>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F1D"/>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B5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19D"/>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192"/>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6E3"/>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6F98"/>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17C"/>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5EB8"/>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25F"/>
    <w:rsid w:val="00746AD9"/>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3D"/>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5F37"/>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3B9"/>
    <w:rsid w:val="00825C42"/>
    <w:rsid w:val="00825D25"/>
    <w:rsid w:val="008265B7"/>
    <w:rsid w:val="0082755A"/>
    <w:rsid w:val="00827761"/>
    <w:rsid w:val="00827B4A"/>
    <w:rsid w:val="00827B85"/>
    <w:rsid w:val="00827D6F"/>
    <w:rsid w:val="00830058"/>
    <w:rsid w:val="008309A2"/>
    <w:rsid w:val="00831391"/>
    <w:rsid w:val="00831DFA"/>
    <w:rsid w:val="00832376"/>
    <w:rsid w:val="00832761"/>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6EC"/>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74D"/>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A55"/>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6BB"/>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6F1"/>
    <w:rsid w:val="00B37BC6"/>
    <w:rsid w:val="00B4041E"/>
    <w:rsid w:val="00B40432"/>
    <w:rsid w:val="00B40445"/>
    <w:rsid w:val="00B40474"/>
    <w:rsid w:val="00B40BA1"/>
    <w:rsid w:val="00B40CB3"/>
    <w:rsid w:val="00B41888"/>
    <w:rsid w:val="00B423F9"/>
    <w:rsid w:val="00B42655"/>
    <w:rsid w:val="00B4297F"/>
    <w:rsid w:val="00B4332C"/>
    <w:rsid w:val="00B43390"/>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4E2"/>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6FD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F0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C87"/>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5342"/>
    <w:rsid w:val="00CD54E4"/>
    <w:rsid w:val="00CD5555"/>
    <w:rsid w:val="00CD60DA"/>
    <w:rsid w:val="00CD7808"/>
    <w:rsid w:val="00CD7877"/>
    <w:rsid w:val="00CD78AE"/>
    <w:rsid w:val="00CE0424"/>
    <w:rsid w:val="00CE182B"/>
    <w:rsid w:val="00CE225F"/>
    <w:rsid w:val="00CE24E1"/>
    <w:rsid w:val="00CE2651"/>
    <w:rsid w:val="00CE2852"/>
    <w:rsid w:val="00CE2883"/>
    <w:rsid w:val="00CE2A8A"/>
    <w:rsid w:val="00CE30E7"/>
    <w:rsid w:val="00CE37DF"/>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3CE"/>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1E"/>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923"/>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7"/>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396"/>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2E4"/>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B5B"/>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936"/>
    <w:rsid w:val="00EF2A42"/>
    <w:rsid w:val="00EF2F9E"/>
    <w:rsid w:val="00EF3256"/>
    <w:rsid w:val="00EF361E"/>
    <w:rsid w:val="00EF3861"/>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96"/>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29D"/>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3AC"/>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C0D7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51631810">
      <w:bodyDiv w:val="1"/>
      <w:marLeft w:val="0"/>
      <w:marRight w:val="0"/>
      <w:marTop w:val="0"/>
      <w:marBottom w:val="0"/>
      <w:divBdr>
        <w:top w:val="none" w:sz="0" w:space="0" w:color="auto"/>
        <w:left w:val="none" w:sz="0" w:space="0" w:color="auto"/>
        <w:bottom w:val="none" w:sz="0" w:space="0" w:color="auto"/>
        <w:right w:val="none" w:sz="0" w:space="0" w:color="auto"/>
      </w:divBdr>
      <w:divsChild>
        <w:div w:id="978614763">
          <w:marLeft w:val="446"/>
          <w:marRight w:val="0"/>
          <w:marTop w:val="0"/>
          <w:marBottom w:val="0"/>
          <w:divBdr>
            <w:top w:val="none" w:sz="0" w:space="0" w:color="auto"/>
            <w:left w:val="none" w:sz="0" w:space="0" w:color="auto"/>
            <w:bottom w:val="none" w:sz="0" w:space="0" w:color="auto"/>
            <w:right w:val="none" w:sz="0" w:space="0" w:color="auto"/>
          </w:divBdr>
        </w:div>
      </w:divsChild>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2024-10-04T02:04:00Z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